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783" w:rsidRPr="001C4783" w:rsidRDefault="001C4783" w:rsidP="001C4783">
      <w:pPr>
        <w:spacing w:after="0" w:line="240" w:lineRule="auto"/>
        <w:rPr>
          <w:rFonts w:ascii="Arial" w:eastAsia="Times New Roman" w:hAnsi="Arial" w:cs="Arial"/>
          <w:sz w:val="28"/>
          <w:szCs w:val="28"/>
          <w:lang w:eastAsia="it-IT"/>
        </w:rPr>
      </w:pPr>
      <w:proofErr w:type="spellStart"/>
      <w:r w:rsidRPr="001C4783">
        <w:rPr>
          <w:rFonts w:ascii="Arial" w:eastAsia="Times New Roman" w:hAnsi="Arial" w:cs="Arial"/>
          <w:sz w:val="28"/>
          <w:szCs w:val="28"/>
          <w:shd w:val="clear" w:color="auto" w:fill="FFFFFF"/>
          <w:lang w:eastAsia="it-IT"/>
        </w:rPr>
        <w:t>Badon</w:t>
      </w:r>
      <w:proofErr w:type="spellEnd"/>
      <w:r w:rsidRPr="001C4783">
        <w:rPr>
          <w:rFonts w:ascii="Arial" w:eastAsia="Times New Roman" w:hAnsi="Arial" w:cs="Arial"/>
          <w:sz w:val="28"/>
          <w:szCs w:val="28"/>
          <w:shd w:val="clear" w:color="auto" w:fill="FFFFFF"/>
          <w:lang w:eastAsia="it-IT"/>
        </w:rPr>
        <w:t xml:space="preserve"> Pierluigi</w:t>
      </w:r>
    </w:p>
    <w:p w:rsidR="001C4783" w:rsidRPr="001C4783" w:rsidRDefault="001C4783" w:rsidP="001C4783">
      <w:pPr>
        <w:shd w:val="clear" w:color="auto" w:fill="FFFFFF"/>
        <w:spacing w:after="100" w:afterAutospacing="1" w:line="240" w:lineRule="auto"/>
        <w:outlineLvl w:val="0"/>
        <w:rPr>
          <w:rFonts w:ascii="Arial" w:eastAsia="Times New Roman" w:hAnsi="Arial" w:cs="Arial"/>
          <w:b/>
          <w:bCs/>
          <w:kern w:val="36"/>
          <w:sz w:val="44"/>
          <w:szCs w:val="44"/>
          <w:lang w:eastAsia="it-IT"/>
        </w:rPr>
      </w:pPr>
      <w:r w:rsidRPr="001C4783">
        <w:rPr>
          <w:rFonts w:ascii="Arial" w:eastAsia="Times New Roman" w:hAnsi="Arial" w:cs="Arial"/>
          <w:b/>
          <w:bCs/>
          <w:kern w:val="36"/>
          <w:sz w:val="44"/>
          <w:szCs w:val="44"/>
          <w:lang w:eastAsia="it-IT"/>
        </w:rPr>
        <w:t>Procedure Infermieristiche in area pediatrica</w:t>
      </w:r>
    </w:p>
    <w:p w:rsidR="001C4783" w:rsidRDefault="001C4783" w:rsidP="001C4783">
      <w:pPr>
        <w:shd w:val="clear" w:color="auto" w:fill="FFFFFF"/>
        <w:spacing w:after="100" w:afterAutospacing="1" w:line="240" w:lineRule="auto"/>
        <w:outlineLvl w:val="4"/>
        <w:rPr>
          <w:rFonts w:ascii="Arial" w:eastAsia="Times New Roman" w:hAnsi="Arial" w:cs="Arial"/>
          <w:b/>
          <w:bCs/>
          <w:sz w:val="24"/>
          <w:szCs w:val="24"/>
          <w:lang w:eastAsia="it-IT"/>
        </w:rPr>
      </w:pPr>
    </w:p>
    <w:p w:rsidR="001C4783" w:rsidRPr="001C4783" w:rsidRDefault="001C4783" w:rsidP="001C4783">
      <w:pPr>
        <w:shd w:val="clear" w:color="auto" w:fill="FFFFFF"/>
        <w:spacing w:after="100" w:afterAutospacing="1" w:line="240" w:lineRule="auto"/>
        <w:outlineLvl w:val="4"/>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Tweet sull'anima del libro (per chi conosce il libro)</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nuova edizione del testo </w:t>
      </w:r>
      <w:r w:rsidRPr="001C4783">
        <w:rPr>
          <w:rFonts w:ascii="Arial" w:eastAsia="Times New Roman" w:hAnsi="Arial" w:cs="Arial"/>
          <w:i/>
          <w:iCs/>
          <w:sz w:val="24"/>
          <w:szCs w:val="24"/>
          <w:lang w:eastAsia="it-IT"/>
        </w:rPr>
        <w:t>Procedure infermieristiche in area pediatrica</w:t>
      </w:r>
      <w:r w:rsidRPr="001C4783">
        <w:rPr>
          <w:rFonts w:ascii="Arial" w:eastAsia="Times New Roman" w:hAnsi="Arial" w:cs="Arial"/>
          <w:sz w:val="24"/>
          <w:szCs w:val="24"/>
          <w:lang w:eastAsia="it-IT"/>
        </w:rPr>
        <w:t> viene pubblicata per aggiornare il contenuto della prima edizione pubblicata nel 2010 e per arricchire il testo con i riferimenti alle tassonomie NANDA-I, NOC e NIC specifici per ciascuna delle procedure presentate,</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principale novità riguarda però il </w:t>
      </w:r>
      <w:r w:rsidRPr="001C4783">
        <w:rPr>
          <w:rFonts w:ascii="Arial" w:eastAsia="Times New Roman" w:hAnsi="Arial" w:cs="Arial"/>
          <w:b/>
          <w:bCs/>
          <w:sz w:val="24"/>
          <w:szCs w:val="24"/>
          <w:lang w:eastAsia="it-IT"/>
        </w:rPr>
        <w:t>ricchissimo apparato iconografico</w:t>
      </w:r>
      <w:r w:rsidRPr="001C4783">
        <w:rPr>
          <w:rFonts w:ascii="Arial" w:eastAsia="Times New Roman" w:hAnsi="Arial" w:cs="Arial"/>
          <w:sz w:val="24"/>
          <w:szCs w:val="24"/>
          <w:lang w:eastAsia="it-IT"/>
        </w:rPr>
        <w:t> (disegni, foto e grafici) pensato per facilitare la comprensione delle tecniche e delle manovre descritte anche da parte dei lettori con un'esperienza clinica ancora limitata.</w:t>
      </w:r>
    </w:p>
    <w:p w:rsidR="001C4783" w:rsidRPr="001C4783" w:rsidRDefault="001C4783" w:rsidP="001C4783">
      <w:pPr>
        <w:shd w:val="clear" w:color="auto" w:fill="FFFFFF"/>
        <w:spacing w:after="100" w:afterAutospacing="1" w:line="240" w:lineRule="auto"/>
        <w:outlineLvl w:val="4"/>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Tweet sull'anima del libro (per chi non conosce il libro)</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Questo testo presenta </w:t>
      </w:r>
      <w:r w:rsidRPr="001C4783">
        <w:rPr>
          <w:rFonts w:ascii="Arial" w:eastAsia="Times New Roman" w:hAnsi="Arial" w:cs="Arial"/>
          <w:b/>
          <w:bCs/>
          <w:sz w:val="24"/>
          <w:szCs w:val="24"/>
          <w:lang w:eastAsia="it-IT"/>
        </w:rPr>
        <w:t>128 procedure infermieristiche applicate in area pediatrica</w:t>
      </w:r>
      <w:r w:rsidRPr="001C4783">
        <w:rPr>
          <w:rFonts w:ascii="Arial" w:eastAsia="Times New Roman" w:hAnsi="Arial" w:cs="Arial"/>
          <w:sz w:val="24"/>
          <w:szCs w:val="24"/>
          <w:lang w:eastAsia="it-IT"/>
        </w:rPr>
        <w:t>, suddivise in sezioni dedicati ai diversi sistemi e apparati, accompagnate da 11 capitoli introduttivi dedicati ai principi generali dell’assistenza in area pediatrica.</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Il testo non solo raccoglie un ampio elenco di procedure </w:t>
      </w:r>
      <w:proofErr w:type="spellStart"/>
      <w:r w:rsidRPr="001C4783">
        <w:rPr>
          <w:rFonts w:ascii="Arial" w:eastAsia="Times New Roman" w:hAnsi="Arial" w:cs="Arial"/>
          <w:sz w:val="24"/>
          <w:szCs w:val="24"/>
          <w:lang w:eastAsia="it-IT"/>
        </w:rPr>
        <w:t>evidence</w:t>
      </w:r>
      <w:proofErr w:type="spellEnd"/>
      <w:r w:rsidRPr="001C4783">
        <w:rPr>
          <w:rFonts w:ascii="Arial" w:eastAsia="Times New Roman" w:hAnsi="Arial" w:cs="Arial"/>
          <w:sz w:val="24"/>
          <w:szCs w:val="24"/>
          <w:lang w:eastAsia="it-IT"/>
        </w:rPr>
        <w:t xml:space="preserve"> </w:t>
      </w:r>
      <w:proofErr w:type="spellStart"/>
      <w:r w:rsidRPr="001C4783">
        <w:rPr>
          <w:rFonts w:ascii="Arial" w:eastAsia="Times New Roman" w:hAnsi="Arial" w:cs="Arial"/>
          <w:sz w:val="24"/>
          <w:szCs w:val="24"/>
          <w:lang w:eastAsia="it-IT"/>
        </w:rPr>
        <w:t>based</w:t>
      </w:r>
      <w:proofErr w:type="spellEnd"/>
      <w:r w:rsidRPr="001C4783">
        <w:rPr>
          <w:rFonts w:ascii="Arial" w:eastAsia="Times New Roman" w:hAnsi="Arial" w:cs="Arial"/>
          <w:sz w:val="24"/>
          <w:szCs w:val="24"/>
          <w:lang w:eastAsia="it-IT"/>
        </w:rPr>
        <w:t xml:space="preserve"> ma considera sempre, quando possibile, il coinvolgimento della sua famiglia secondo la moderna ottica della family </w:t>
      </w:r>
      <w:proofErr w:type="spellStart"/>
      <w:r w:rsidRPr="001C4783">
        <w:rPr>
          <w:rFonts w:ascii="Arial" w:eastAsia="Times New Roman" w:hAnsi="Arial" w:cs="Arial"/>
          <w:sz w:val="24"/>
          <w:szCs w:val="24"/>
          <w:lang w:eastAsia="it-IT"/>
        </w:rPr>
        <w:t>centered</w:t>
      </w:r>
      <w:proofErr w:type="spellEnd"/>
      <w:r w:rsidRPr="001C4783">
        <w:rPr>
          <w:rFonts w:ascii="Arial" w:eastAsia="Times New Roman" w:hAnsi="Arial" w:cs="Arial"/>
          <w:sz w:val="24"/>
          <w:szCs w:val="24"/>
          <w:lang w:eastAsia="it-IT"/>
        </w:rPr>
        <w:t xml:space="preserve"> care.</w:t>
      </w:r>
    </w:p>
    <w:p w:rsidR="001C4783" w:rsidRPr="001C4783" w:rsidRDefault="001C4783" w:rsidP="001C4783">
      <w:pPr>
        <w:shd w:val="clear" w:color="auto" w:fill="FFFFFF"/>
        <w:spacing w:after="100" w:afterAutospacing="1" w:line="240" w:lineRule="auto"/>
        <w:outlineLvl w:val="4"/>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Autori</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L'opera è stata curata da </w:t>
      </w:r>
      <w:r w:rsidRPr="001C4783">
        <w:rPr>
          <w:rFonts w:ascii="Arial" w:eastAsia="Times New Roman" w:hAnsi="Arial" w:cs="Arial"/>
          <w:b/>
          <w:bCs/>
          <w:sz w:val="24"/>
          <w:szCs w:val="24"/>
          <w:lang w:eastAsia="it-IT"/>
        </w:rPr>
        <w:t xml:space="preserve">Pierluigi </w:t>
      </w:r>
      <w:proofErr w:type="spellStart"/>
      <w:r w:rsidRPr="001C4783">
        <w:rPr>
          <w:rFonts w:ascii="Arial" w:eastAsia="Times New Roman" w:hAnsi="Arial" w:cs="Arial"/>
          <w:b/>
          <w:bCs/>
          <w:sz w:val="24"/>
          <w:szCs w:val="24"/>
          <w:lang w:eastAsia="it-IT"/>
        </w:rPr>
        <w:t>Badon</w:t>
      </w:r>
      <w:proofErr w:type="spellEnd"/>
      <w:r w:rsidRPr="001C4783">
        <w:rPr>
          <w:rFonts w:ascii="Arial" w:eastAsia="Times New Roman" w:hAnsi="Arial" w:cs="Arial"/>
          <w:sz w:val="24"/>
          <w:szCs w:val="24"/>
          <w:lang w:eastAsia="it-IT"/>
        </w:rPr>
        <w:t>, conosciuto autore dei testi pubblicati da CEA</w:t>
      </w:r>
      <w:r w:rsidRPr="001C4783">
        <w:rPr>
          <w:rFonts w:ascii="Arial" w:eastAsia="Times New Roman" w:hAnsi="Arial" w:cs="Arial"/>
          <w:i/>
          <w:iCs/>
          <w:sz w:val="24"/>
          <w:szCs w:val="24"/>
          <w:lang w:eastAsia="it-IT"/>
        </w:rPr>
        <w:t> Assistenza infermieristica in pediatria</w:t>
      </w:r>
      <w:r w:rsidRPr="001C4783">
        <w:rPr>
          <w:rFonts w:ascii="Arial" w:eastAsia="Times New Roman" w:hAnsi="Arial" w:cs="Arial"/>
          <w:sz w:val="24"/>
          <w:szCs w:val="24"/>
          <w:lang w:eastAsia="it-IT"/>
        </w:rPr>
        <w:t> e </w:t>
      </w:r>
      <w:r w:rsidRPr="001C4783">
        <w:rPr>
          <w:rFonts w:ascii="Arial" w:eastAsia="Times New Roman" w:hAnsi="Arial" w:cs="Arial"/>
          <w:i/>
          <w:iCs/>
          <w:sz w:val="24"/>
          <w:szCs w:val="24"/>
          <w:lang w:eastAsia="it-IT"/>
        </w:rPr>
        <w:t>Procedure infermieristiche</w:t>
      </w:r>
      <w:r w:rsidRPr="001C4783">
        <w:rPr>
          <w:rFonts w:ascii="Arial" w:eastAsia="Times New Roman" w:hAnsi="Arial" w:cs="Arial"/>
          <w:sz w:val="24"/>
          <w:szCs w:val="24"/>
          <w:lang w:eastAsia="it-IT"/>
        </w:rPr>
        <w:t xml:space="preserve">, nonché della prima edizione </w:t>
      </w:r>
      <w:proofErr w:type="spellStart"/>
      <w:r w:rsidRPr="001C4783">
        <w:rPr>
          <w:rFonts w:ascii="Arial" w:eastAsia="Times New Roman" w:hAnsi="Arial" w:cs="Arial"/>
          <w:sz w:val="24"/>
          <w:szCs w:val="24"/>
          <w:lang w:eastAsia="it-IT"/>
        </w:rPr>
        <w:t>edizione</w:t>
      </w:r>
      <w:proofErr w:type="spellEnd"/>
      <w:r w:rsidRPr="001C4783">
        <w:rPr>
          <w:rFonts w:ascii="Arial" w:eastAsia="Times New Roman" w:hAnsi="Arial" w:cs="Arial"/>
          <w:sz w:val="24"/>
          <w:szCs w:val="24"/>
          <w:lang w:eastAsia="it-IT"/>
        </w:rPr>
        <w:t xml:space="preserve"> del testo </w:t>
      </w:r>
      <w:r w:rsidRPr="001C4783">
        <w:rPr>
          <w:rFonts w:ascii="Arial" w:eastAsia="Times New Roman" w:hAnsi="Arial" w:cs="Arial"/>
          <w:i/>
          <w:iCs/>
          <w:sz w:val="24"/>
          <w:szCs w:val="24"/>
          <w:lang w:eastAsia="it-IT"/>
        </w:rPr>
        <w:t>Procedure infermieristiche in pediatria</w:t>
      </w:r>
      <w:r w:rsidRPr="001C4783">
        <w:rPr>
          <w:rFonts w:ascii="Arial" w:eastAsia="Times New Roman" w:hAnsi="Arial" w:cs="Arial"/>
          <w:sz w:val="24"/>
          <w:szCs w:val="24"/>
          <w:lang w:eastAsia="it-IT"/>
        </w:rPr>
        <w:t xml:space="preserve"> assieme ad Alessandra </w:t>
      </w:r>
      <w:proofErr w:type="spellStart"/>
      <w:r w:rsidRPr="001C4783">
        <w:rPr>
          <w:rFonts w:ascii="Arial" w:eastAsia="Times New Roman" w:hAnsi="Arial" w:cs="Arial"/>
          <w:sz w:val="24"/>
          <w:szCs w:val="24"/>
          <w:lang w:eastAsia="it-IT"/>
        </w:rPr>
        <w:t>Zampieron</w:t>
      </w:r>
      <w:proofErr w:type="spellEnd"/>
      <w:r w:rsidRPr="001C4783">
        <w:rPr>
          <w:rFonts w:ascii="Arial" w:eastAsia="Times New Roman" w:hAnsi="Arial" w:cs="Arial"/>
          <w:sz w:val="24"/>
          <w:szCs w:val="24"/>
          <w:lang w:eastAsia="it-IT"/>
        </w:rPr>
        <w:t>, deceduta nel 2012.</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xml:space="preserve"> è docente a contratto di Infermieristica presso il Corso di Laurea in Infermieristica dell’Università di Padova e tutor didattico aziendale presso la Direzione delle Professioni Sanitarie dell’Azienda Ospedaliera di Padova.</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A lui sono affiancati Marta Canesi e Federico Pellegatta, per quanto riguarda le attività di coordinamento, e </w:t>
      </w:r>
      <w:r w:rsidRPr="001C4783">
        <w:rPr>
          <w:rFonts w:ascii="Arial" w:eastAsia="Times New Roman" w:hAnsi="Arial" w:cs="Arial"/>
          <w:b/>
          <w:bCs/>
          <w:sz w:val="24"/>
          <w:szCs w:val="24"/>
          <w:lang w:eastAsia="it-IT"/>
        </w:rPr>
        <w:t>oltre 70 autori provenienti da tutta Italia</w:t>
      </w:r>
      <w:r w:rsidRPr="001C4783">
        <w:rPr>
          <w:rFonts w:ascii="Arial" w:eastAsia="Times New Roman" w:hAnsi="Arial" w:cs="Arial"/>
          <w:sz w:val="24"/>
          <w:szCs w:val="24"/>
          <w:lang w:eastAsia="it-IT"/>
        </w:rPr>
        <w:t> e selezionati per le specifiche competenze cliniche specialistiche (l'elenco dettagliato di questi autori è presente alle pagine VIII, IX e X del libro).</w:t>
      </w:r>
    </w:p>
    <w:p w:rsidR="001C4783" w:rsidRPr="001C4783" w:rsidRDefault="001C4783" w:rsidP="001C4783">
      <w:pPr>
        <w:shd w:val="clear" w:color="auto" w:fill="FFFFFF"/>
        <w:spacing w:after="100" w:afterAutospacing="1" w:line="240" w:lineRule="auto"/>
        <w:outlineLvl w:val="4"/>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Destinazione</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Il testo è pensato per </w:t>
      </w:r>
      <w:r w:rsidRPr="001C4783">
        <w:rPr>
          <w:rFonts w:ascii="Arial" w:eastAsia="Times New Roman" w:hAnsi="Arial" w:cs="Arial"/>
          <w:b/>
          <w:bCs/>
          <w:sz w:val="24"/>
          <w:szCs w:val="24"/>
          <w:lang w:eastAsia="it-IT"/>
        </w:rPr>
        <w:t>studenti dei Corsi di Laurea in Infermieristica e dei Corsi di Laurea magistrale in Scienze Infermieristiche e ostetriche</w:t>
      </w:r>
      <w:r w:rsidRPr="001C4783">
        <w:rPr>
          <w:rFonts w:ascii="Arial" w:eastAsia="Times New Roman" w:hAnsi="Arial" w:cs="Arial"/>
          <w:sz w:val="24"/>
          <w:szCs w:val="24"/>
          <w:lang w:eastAsia="it-IT"/>
        </w:rPr>
        <w:t>, nonché per gli </w:t>
      </w:r>
      <w:r w:rsidRPr="001C4783">
        <w:rPr>
          <w:rFonts w:ascii="Arial" w:eastAsia="Times New Roman" w:hAnsi="Arial" w:cs="Arial"/>
          <w:b/>
          <w:bCs/>
          <w:sz w:val="24"/>
          <w:szCs w:val="24"/>
          <w:lang w:eastAsia="it-IT"/>
        </w:rPr>
        <w:t>studenti dei corsi Master di Infermieristica</w:t>
      </w:r>
      <w:r w:rsidRPr="001C4783">
        <w:rPr>
          <w:rFonts w:ascii="Arial" w:eastAsia="Times New Roman" w:hAnsi="Arial" w:cs="Arial"/>
          <w:sz w:val="24"/>
          <w:szCs w:val="24"/>
          <w:lang w:eastAsia="it-IT"/>
        </w:rPr>
        <w:t>. L'elevato numero di procedure presentate fa sì che non tutte le procedure trattate siano oggetto di studio nei corsi di laurea in infermieristica, ma molte di esse trovano utilizzo in corsi di master e perfezionamento.</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lastRenderedPageBreak/>
        <w:t>Il testo è poi indicato per </w:t>
      </w:r>
      <w:r w:rsidRPr="001C4783">
        <w:rPr>
          <w:rFonts w:ascii="Arial" w:eastAsia="Times New Roman" w:hAnsi="Arial" w:cs="Arial"/>
          <w:b/>
          <w:bCs/>
          <w:sz w:val="24"/>
          <w:szCs w:val="24"/>
          <w:lang w:eastAsia="it-IT"/>
        </w:rPr>
        <w:t>professionisti infermieri e infermieri pediatrici</w:t>
      </w:r>
      <w:r w:rsidRPr="001C4783">
        <w:rPr>
          <w:rFonts w:ascii="Arial" w:eastAsia="Times New Roman" w:hAnsi="Arial" w:cs="Arial"/>
          <w:sz w:val="24"/>
          <w:szCs w:val="24"/>
          <w:lang w:eastAsia="it-IT"/>
        </w:rPr>
        <w:t> per l'uso in ambito clinico o per la preparazione a concorsi.</w:t>
      </w:r>
    </w:p>
    <w:p w:rsidR="001C4783" w:rsidRPr="001C4783" w:rsidRDefault="001C4783" w:rsidP="001C4783">
      <w:pPr>
        <w:shd w:val="clear" w:color="auto" w:fill="FFFFFF"/>
        <w:spacing w:after="100" w:afterAutospacing="1" w:line="240" w:lineRule="auto"/>
        <w:outlineLvl w:val="4"/>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Edizione K e affiancamenti</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Sostituisce la prima edizione </w:t>
      </w:r>
      <w:r w:rsidRPr="001C4783">
        <w:rPr>
          <w:rFonts w:ascii="Arial" w:eastAsia="Times New Roman" w:hAnsi="Arial" w:cs="Arial"/>
          <w:i/>
          <w:iCs/>
          <w:sz w:val="24"/>
          <w:szCs w:val="24"/>
          <w:lang w:eastAsia="it-IT"/>
        </w:rPr>
        <w:t>Procedure infermieristiche in pediatria</w:t>
      </w:r>
      <w:r w:rsidRPr="001C4783">
        <w:rPr>
          <w:rFonts w:ascii="Arial" w:eastAsia="Times New Roman" w:hAnsi="Arial" w:cs="Arial"/>
          <w:sz w:val="24"/>
          <w:szCs w:val="24"/>
          <w:lang w:eastAsia="it-IT"/>
        </w:rPr>
        <w:t xml:space="preserve"> a cura di Pierluigi </w:t>
      </w: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xml:space="preserve"> e Alessandra </w:t>
      </w:r>
      <w:proofErr w:type="spellStart"/>
      <w:r w:rsidRPr="001C4783">
        <w:rPr>
          <w:rFonts w:ascii="Arial" w:eastAsia="Times New Roman" w:hAnsi="Arial" w:cs="Arial"/>
          <w:sz w:val="24"/>
          <w:szCs w:val="24"/>
          <w:lang w:eastAsia="it-IT"/>
        </w:rPr>
        <w:t>Zampieron</w:t>
      </w:r>
      <w:proofErr w:type="spellEnd"/>
      <w:r w:rsidRPr="001C4783">
        <w:rPr>
          <w:rFonts w:ascii="Arial" w:eastAsia="Times New Roman" w:hAnsi="Arial" w:cs="Arial"/>
          <w:sz w:val="24"/>
          <w:szCs w:val="24"/>
          <w:lang w:eastAsia="it-IT"/>
        </w:rPr>
        <w:t xml:space="preserve"> pubblicato nel 2010 e ormai un po' datato.</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struttura della nuov</w:t>
      </w:r>
      <w:r>
        <w:rPr>
          <w:rFonts w:ascii="Arial" w:eastAsia="Times New Roman" w:hAnsi="Arial" w:cs="Arial"/>
          <w:sz w:val="24"/>
          <w:szCs w:val="24"/>
          <w:lang w:eastAsia="it-IT"/>
        </w:rPr>
        <w:t>a</w:t>
      </w:r>
      <w:r w:rsidRPr="001C4783">
        <w:rPr>
          <w:rFonts w:ascii="Arial" w:eastAsia="Times New Roman" w:hAnsi="Arial" w:cs="Arial"/>
          <w:sz w:val="24"/>
          <w:szCs w:val="24"/>
          <w:lang w:eastAsia="it-IT"/>
        </w:rPr>
        <w:t xml:space="preserve"> edizione è </w:t>
      </w:r>
      <w:proofErr w:type="spellStart"/>
      <w:r w:rsidRPr="001C4783">
        <w:rPr>
          <w:rFonts w:ascii="Arial" w:eastAsia="Times New Roman" w:hAnsi="Arial" w:cs="Arial"/>
          <w:sz w:val="24"/>
          <w:szCs w:val="24"/>
          <w:lang w:eastAsia="it-IT"/>
        </w:rPr>
        <w:t>piu</w:t>
      </w:r>
      <w:proofErr w:type="spellEnd"/>
      <w:r w:rsidRPr="001C4783">
        <w:rPr>
          <w:rFonts w:ascii="Arial" w:eastAsia="Times New Roman" w:hAnsi="Arial" w:cs="Arial"/>
          <w:sz w:val="24"/>
          <w:szCs w:val="24"/>
          <w:lang w:eastAsia="it-IT"/>
        </w:rPr>
        <w:t xml:space="preserve"> simile a quella del testo Procedure infermieristiche curato da P. </w:t>
      </w: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M. Canesi, F. Pellegatta e A. Monterosso, pubblicato da CEA nel 2018.</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principale novità rispetto a questi due testi riguarda il </w:t>
      </w:r>
      <w:r w:rsidRPr="001C4783">
        <w:rPr>
          <w:rFonts w:ascii="Arial" w:eastAsia="Times New Roman" w:hAnsi="Arial" w:cs="Arial"/>
          <w:b/>
          <w:bCs/>
          <w:sz w:val="24"/>
          <w:szCs w:val="24"/>
          <w:lang w:eastAsia="it-IT"/>
        </w:rPr>
        <w:t>ricchissimo apparato iconografico</w:t>
      </w:r>
      <w:r w:rsidRPr="001C4783">
        <w:rPr>
          <w:rFonts w:ascii="Arial" w:eastAsia="Times New Roman" w:hAnsi="Arial" w:cs="Arial"/>
          <w:sz w:val="24"/>
          <w:szCs w:val="24"/>
          <w:lang w:eastAsia="it-IT"/>
        </w:rPr>
        <w:t> (disegni, foto, grafici) che illustra le procedure in modo da renderle più facilmente comprensibile anche per chi non ha ancora un'esperienza clinica consolidata.</w:t>
      </w:r>
    </w:p>
    <w:p w:rsidR="001C4783" w:rsidRPr="001C4783" w:rsidRDefault="001C4783" w:rsidP="001C4783">
      <w:pPr>
        <w:shd w:val="clear" w:color="auto" w:fill="FFFFFF"/>
        <w:spacing w:after="100" w:afterAutospacing="1" w:line="240" w:lineRule="auto"/>
        <w:outlineLvl w:val="4"/>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Note</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seconda edizione del testo </w:t>
      </w:r>
      <w:r w:rsidRPr="001C4783">
        <w:rPr>
          <w:rFonts w:ascii="Arial" w:eastAsia="Times New Roman" w:hAnsi="Arial" w:cs="Arial"/>
          <w:i/>
          <w:iCs/>
          <w:sz w:val="24"/>
          <w:szCs w:val="24"/>
          <w:lang w:eastAsia="it-IT"/>
        </w:rPr>
        <w:t>Procedure infermieristiche in area pediatrica</w:t>
      </w:r>
      <w:r w:rsidRPr="001C4783">
        <w:rPr>
          <w:rFonts w:ascii="Arial" w:eastAsia="Times New Roman" w:hAnsi="Arial" w:cs="Arial"/>
          <w:sz w:val="24"/>
          <w:szCs w:val="24"/>
          <w:lang w:eastAsia="it-IT"/>
        </w:rPr>
        <w:t xml:space="preserve">, a cura di Pierluigi </w:t>
      </w: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xml:space="preserve">, viene pubblicata a oltre dieci anni dalla pubblicazione della prima edizione (pubblicata nel 2010 da P. </w:t>
      </w: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xml:space="preserve"> assieme ad Alessandra </w:t>
      </w:r>
      <w:proofErr w:type="spellStart"/>
      <w:r w:rsidRPr="001C4783">
        <w:rPr>
          <w:rFonts w:ascii="Arial" w:eastAsia="Times New Roman" w:hAnsi="Arial" w:cs="Arial"/>
          <w:sz w:val="24"/>
          <w:szCs w:val="24"/>
          <w:lang w:eastAsia="it-IT"/>
        </w:rPr>
        <w:t>Zampieron</w:t>
      </w:r>
      <w:proofErr w:type="spellEnd"/>
      <w:r w:rsidRPr="001C4783">
        <w:rPr>
          <w:rFonts w:ascii="Arial" w:eastAsia="Times New Roman" w:hAnsi="Arial" w:cs="Arial"/>
          <w:sz w:val="24"/>
          <w:szCs w:val="24"/>
          <w:lang w:eastAsia="it-IT"/>
        </w:rPr>
        <w:t xml:space="preserve"> poi deceduta nel 2012) per aggiornare un testo che ha avuto un ottimo successo di vendita. Nel frattempo, nel 2018, proprio sull'onda del successo del volume "pediatrico", Pierluigi </w:t>
      </w: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xml:space="preserve"> ha pubblicato con Marta Canesi, Alessandro Monterosso e Federico Pellegatta un analogo testo dedicato alle procedure infermieristiche utilizzabili con gli assistiti adulti. Questa situazione </w:t>
      </w:r>
      <w:r>
        <w:rPr>
          <w:rFonts w:ascii="Arial" w:eastAsia="Times New Roman" w:hAnsi="Arial" w:cs="Arial"/>
          <w:sz w:val="24"/>
          <w:szCs w:val="24"/>
          <w:lang w:eastAsia="it-IT"/>
        </w:rPr>
        <w:t>ha</w:t>
      </w:r>
      <w:r w:rsidRPr="001C4783">
        <w:rPr>
          <w:rFonts w:ascii="Arial" w:eastAsia="Times New Roman" w:hAnsi="Arial" w:cs="Arial"/>
          <w:sz w:val="24"/>
          <w:szCs w:val="24"/>
          <w:lang w:eastAsia="it-IT"/>
        </w:rPr>
        <w:t xml:space="preserve"> fatto sì che il nuovo testo "pediatrico" sia in realtà molto più simile, come dimensioni e come contenuti, al più recente testo dedicato agli adulti che non alla datata prima edizione del testo dedicato ai soggetti in età evolutiva.</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b/>
          <w:bCs/>
          <w:sz w:val="24"/>
          <w:szCs w:val="24"/>
          <w:lang w:eastAsia="it-IT"/>
        </w:rPr>
        <w:t>Quasi mille pagine cartacee e oltre 300 pagine digitali</w:t>
      </w:r>
      <w:r w:rsidRPr="001C4783">
        <w:rPr>
          <w:rFonts w:ascii="Arial" w:eastAsia="Times New Roman" w:hAnsi="Arial" w:cs="Arial"/>
          <w:sz w:val="24"/>
          <w:szCs w:val="24"/>
          <w:lang w:eastAsia="it-IT"/>
        </w:rPr>
        <w:t>, due introduzioni e 11 capitoli per presentare le informazioni teoriche indispensabili per eseguire in maniera efficace le procedure, un ricco apparato di appendici con strumenti di supporto.</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novità più significativa rispetto a entrambi i due titoli precedenti è relativa al </w:t>
      </w:r>
      <w:r w:rsidRPr="001C4783">
        <w:rPr>
          <w:rFonts w:ascii="Arial" w:eastAsia="Times New Roman" w:hAnsi="Arial" w:cs="Arial"/>
          <w:b/>
          <w:bCs/>
          <w:sz w:val="24"/>
          <w:szCs w:val="24"/>
          <w:lang w:eastAsia="it-IT"/>
        </w:rPr>
        <w:t>ricchissimo apparato iconografico</w:t>
      </w:r>
      <w:r w:rsidRPr="001C4783">
        <w:rPr>
          <w:rFonts w:ascii="Arial" w:eastAsia="Times New Roman" w:hAnsi="Arial" w:cs="Arial"/>
          <w:sz w:val="24"/>
          <w:szCs w:val="24"/>
          <w:lang w:eastAsia="it-IT"/>
        </w:rPr>
        <w:t xml:space="preserve">. Entrambi i testi precedenti, infatti, sono piuttosto poveri di immagini che permettano di comprendere meglio i vari passaggio delle diverse procedure. Per colmare questa carenza è stato fatto un grosso sforzo per arricchire tutte le procedure con disegni e foto che permettano di visualizzare e capire meglio i passaggi più importanti. </w:t>
      </w:r>
      <w:proofErr w:type="gramStart"/>
      <w:r w:rsidRPr="001C4783">
        <w:rPr>
          <w:rFonts w:ascii="Arial" w:eastAsia="Times New Roman" w:hAnsi="Arial" w:cs="Arial"/>
          <w:sz w:val="24"/>
          <w:szCs w:val="24"/>
          <w:lang w:eastAsia="it-IT"/>
        </w:rPr>
        <w:t>Inoltre</w:t>
      </w:r>
      <w:proofErr w:type="gramEnd"/>
      <w:r w:rsidRPr="001C4783">
        <w:rPr>
          <w:rFonts w:ascii="Arial" w:eastAsia="Times New Roman" w:hAnsi="Arial" w:cs="Arial"/>
          <w:sz w:val="24"/>
          <w:szCs w:val="24"/>
          <w:lang w:eastAsia="it-IT"/>
        </w:rPr>
        <w:t xml:space="preserve"> sono state inserite immagini che mostrano la strumentazione e le apparecchiature da utilizzare durante le diverse procedure, in modo da permettere a chi ha ancora poca esperienza in ambito clinico di iniziare a familiarizzare con quelli che diventeranno i suoi strumenti di lavoro quotidiano.</w:t>
      </w:r>
    </w:p>
    <w:p w:rsidR="001C4783" w:rsidRPr="001C4783" w:rsidRDefault="001C4783" w:rsidP="001C4783">
      <w:pPr>
        <w:shd w:val="clear" w:color="auto" w:fill="FFFFFF"/>
        <w:spacing w:after="100" w:afterAutospacing="1"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Questo ricco apparato iconografico ha però comportato un significativo aumento del numero di pagine del testo che, come già detto, tra volume cartaceo e materiale online conta ora più di 1300 pagine. Questo ha reso necessario trasferire parte dei </w:t>
      </w:r>
      <w:r w:rsidRPr="001C4783">
        <w:rPr>
          <w:rFonts w:ascii="Arial" w:eastAsia="Times New Roman" w:hAnsi="Arial" w:cs="Arial"/>
          <w:b/>
          <w:bCs/>
          <w:sz w:val="24"/>
          <w:szCs w:val="24"/>
          <w:lang w:eastAsia="it-IT"/>
        </w:rPr>
        <w:t>contenuti online</w:t>
      </w:r>
      <w:r w:rsidRPr="001C4783">
        <w:rPr>
          <w:rFonts w:ascii="Arial" w:eastAsia="Times New Roman" w:hAnsi="Arial" w:cs="Arial"/>
          <w:sz w:val="24"/>
          <w:szCs w:val="24"/>
          <w:lang w:eastAsia="it-IT"/>
        </w:rPr>
        <w:t> in modo da non avere un volume cartaceo di dimensioni eccessive. Sono quindi state pubblicate su </w:t>
      </w:r>
      <w:proofErr w:type="spellStart"/>
      <w:r w:rsidRPr="001C4783">
        <w:rPr>
          <w:rFonts w:ascii="Arial" w:eastAsia="Times New Roman" w:hAnsi="Arial" w:cs="Arial"/>
          <w:b/>
          <w:bCs/>
          <w:sz w:val="24"/>
          <w:szCs w:val="24"/>
          <w:lang w:eastAsia="it-IT"/>
        </w:rPr>
        <w:t>Testtube</w:t>
      </w:r>
      <w:proofErr w:type="spellEnd"/>
      <w:r w:rsidRPr="001C4783">
        <w:rPr>
          <w:rFonts w:ascii="Arial" w:eastAsia="Times New Roman" w:hAnsi="Arial" w:cs="Arial"/>
          <w:sz w:val="24"/>
          <w:szCs w:val="24"/>
          <w:lang w:eastAsia="it-IT"/>
        </w:rPr>
        <w:t>, in formato PDF, </w:t>
      </w:r>
      <w:r w:rsidRPr="001C4783">
        <w:rPr>
          <w:rFonts w:ascii="Arial" w:eastAsia="Times New Roman" w:hAnsi="Arial" w:cs="Arial"/>
          <w:b/>
          <w:bCs/>
          <w:sz w:val="24"/>
          <w:szCs w:val="24"/>
          <w:lang w:eastAsia="it-IT"/>
        </w:rPr>
        <w:t>trenta procedure</w:t>
      </w:r>
      <w:r w:rsidRPr="001C4783">
        <w:rPr>
          <w:rFonts w:ascii="Arial" w:eastAsia="Times New Roman" w:hAnsi="Arial" w:cs="Arial"/>
          <w:sz w:val="24"/>
          <w:szCs w:val="24"/>
          <w:lang w:eastAsia="it-IT"/>
        </w:rPr>
        <w:t> tra quelle utilizzate meno di frequente,</w:t>
      </w:r>
      <w:r w:rsidRPr="001C4783">
        <w:rPr>
          <w:rFonts w:ascii="Arial" w:eastAsia="Times New Roman" w:hAnsi="Arial" w:cs="Arial"/>
          <w:b/>
          <w:bCs/>
          <w:sz w:val="24"/>
          <w:szCs w:val="24"/>
          <w:lang w:eastAsia="it-IT"/>
        </w:rPr>
        <w:t> tutte le appendici</w:t>
      </w:r>
      <w:r w:rsidRPr="001C4783">
        <w:rPr>
          <w:rFonts w:ascii="Arial" w:eastAsia="Times New Roman" w:hAnsi="Arial" w:cs="Arial"/>
          <w:sz w:val="24"/>
          <w:szCs w:val="24"/>
          <w:lang w:eastAsia="it-IT"/>
        </w:rPr>
        <w:t> con esclusione della prima appendice e le </w:t>
      </w:r>
      <w:r w:rsidRPr="001C4783">
        <w:rPr>
          <w:rFonts w:ascii="Arial" w:eastAsia="Times New Roman" w:hAnsi="Arial" w:cs="Arial"/>
          <w:b/>
          <w:bCs/>
          <w:sz w:val="24"/>
          <w:szCs w:val="24"/>
          <w:lang w:eastAsia="it-IT"/>
        </w:rPr>
        <w:t>tre bibliografie</w:t>
      </w:r>
      <w:r w:rsidRPr="001C4783">
        <w:rPr>
          <w:rFonts w:ascii="Arial" w:eastAsia="Times New Roman" w:hAnsi="Arial" w:cs="Arial"/>
          <w:sz w:val="24"/>
          <w:szCs w:val="24"/>
          <w:lang w:eastAsia="it-IT"/>
        </w:rPr>
        <w:t xml:space="preserve"> (generale, specifica per gli 11 capitoli e specifica per ciascuna procedura). </w:t>
      </w:r>
      <w:r w:rsidRPr="001C4783">
        <w:rPr>
          <w:rFonts w:ascii="Arial" w:eastAsia="Times New Roman" w:hAnsi="Arial" w:cs="Arial"/>
          <w:sz w:val="24"/>
          <w:szCs w:val="24"/>
          <w:lang w:eastAsia="it-IT"/>
        </w:rPr>
        <w:lastRenderedPageBreak/>
        <w:t xml:space="preserve">Tutto questo materiale, che assomma a circa 350 pagine di testo, è accessibile su </w:t>
      </w:r>
      <w:proofErr w:type="spellStart"/>
      <w:r w:rsidRPr="001C4783">
        <w:rPr>
          <w:rFonts w:ascii="Arial" w:eastAsia="Times New Roman" w:hAnsi="Arial" w:cs="Arial"/>
          <w:sz w:val="24"/>
          <w:szCs w:val="24"/>
          <w:lang w:eastAsia="it-IT"/>
        </w:rPr>
        <w:t>Testtube</w:t>
      </w:r>
      <w:proofErr w:type="spellEnd"/>
      <w:r w:rsidRPr="001C4783">
        <w:rPr>
          <w:rFonts w:ascii="Arial" w:eastAsia="Times New Roman" w:hAnsi="Arial" w:cs="Arial"/>
          <w:sz w:val="24"/>
          <w:szCs w:val="24"/>
          <w:lang w:eastAsia="it-IT"/>
        </w:rPr>
        <w:t xml:space="preserve"> utilizzando il </w:t>
      </w:r>
      <w:r w:rsidRPr="001C4783">
        <w:rPr>
          <w:rFonts w:ascii="Arial" w:eastAsia="Times New Roman" w:hAnsi="Arial" w:cs="Arial"/>
          <w:b/>
          <w:bCs/>
          <w:sz w:val="24"/>
          <w:szCs w:val="24"/>
          <w:lang w:eastAsia="it-IT"/>
        </w:rPr>
        <w:t>codice alfanumerico univoco stampato in seconda di copertina</w:t>
      </w:r>
      <w:r w:rsidRPr="001C4783">
        <w:rPr>
          <w:rFonts w:ascii="Arial" w:eastAsia="Times New Roman" w:hAnsi="Arial" w:cs="Arial"/>
          <w:sz w:val="24"/>
          <w:szCs w:val="24"/>
          <w:lang w:eastAsia="it-IT"/>
        </w:rPr>
        <w:t>.</w:t>
      </w:r>
    </w:p>
    <w:p w:rsidR="00C47B31" w:rsidRDefault="00C47B31">
      <w:pPr>
        <w:rPr>
          <w:rFonts w:ascii="Arial" w:hAnsi="Arial" w:cs="Arial"/>
          <w:sz w:val="24"/>
          <w:szCs w:val="24"/>
        </w:rPr>
      </w:pPr>
    </w:p>
    <w:p w:rsidR="001C4783" w:rsidRPr="001C4783" w:rsidRDefault="001C4783">
      <w:pPr>
        <w:rPr>
          <w:rFonts w:ascii="Arial" w:hAnsi="Arial" w:cs="Arial"/>
          <w:b/>
          <w:bCs/>
          <w:sz w:val="28"/>
          <w:szCs w:val="28"/>
        </w:rPr>
      </w:pPr>
      <w:r w:rsidRPr="001C4783">
        <w:rPr>
          <w:rFonts w:ascii="Arial" w:hAnsi="Arial" w:cs="Arial"/>
          <w:b/>
          <w:bCs/>
          <w:sz w:val="28"/>
          <w:szCs w:val="28"/>
        </w:rPr>
        <w:t>PUNTI DI FORZA</w:t>
      </w:r>
    </w:p>
    <w:tbl>
      <w:tblPr>
        <w:tblW w:w="9638" w:type="dxa"/>
        <w:tblCellMar>
          <w:left w:w="70" w:type="dxa"/>
          <w:right w:w="70" w:type="dxa"/>
        </w:tblCellMar>
        <w:tblLook w:val="04A0" w:firstRow="1" w:lastRow="0" w:firstColumn="1" w:lastColumn="0" w:noHBand="0" w:noVBand="1"/>
      </w:tblPr>
      <w:tblGrid>
        <w:gridCol w:w="9638"/>
      </w:tblGrid>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Strillo</w:t>
            </w:r>
          </w:p>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Nuova edizione ampliata e aggiornata a fronte di una rigorosa ricerca delle prove di efficacia più recenti a sostegno degli interventi procedurali.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Descrizione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nuova edizione aggiorna il precedente teso del 2010, ormai decisamente datato visto il ritmo con cui evolve la ricerca infermieristica. L'aggiornamento riguarda anche i capitoli introduttivi, che sono stati ampliati per coprire argomenti estremamente attuali quali la metodologia della ricerca infermieristica, la qualità nell’assistenza infermieristica, le cure palliative pediatriche e la pianificazione dell’assistenza infermieristica con le tassonomie NANDA-I, NOC e NIC.</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Vantaggio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L'aggiornamento è essenziale per un testo di procedure infermieristiche basate sue evidenze scientifiche che evolvono molto rapidamente.</w:t>
            </w:r>
          </w:p>
        </w:tc>
      </w:tr>
      <w:tr w:rsidR="001C4783" w:rsidRPr="001C4783" w:rsidTr="001C4783">
        <w:trPr>
          <w:trHeight w:val="300"/>
        </w:trPr>
        <w:tc>
          <w:tcPr>
            <w:tcW w:w="9638" w:type="dxa"/>
            <w:tcBorders>
              <w:top w:val="nil"/>
              <w:left w:val="nil"/>
              <w:bottom w:val="nil"/>
              <w:right w:val="nil"/>
            </w:tcBorders>
            <w:shd w:val="clear" w:color="auto" w:fill="auto"/>
            <w:noWrap/>
            <w:vAlign w:val="bottom"/>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Strillo</w:t>
            </w:r>
          </w:p>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Il testo offre un’ampia raccolta di procedure infermieristiche di uso frequente in area pediatrica ed è corredato da una serie di capitoli introduttivi per la trattazione di argomenti trasversali e fondamentali relativi all’assistenza infermieristica.</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Descrizione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128 procedure (98 presenti nel volume cartaceo e 30 disponibili online su </w:t>
            </w:r>
            <w:proofErr w:type="spellStart"/>
            <w:r w:rsidRPr="001C4783">
              <w:rPr>
                <w:rFonts w:ascii="Arial" w:eastAsia="Times New Roman" w:hAnsi="Arial" w:cs="Arial"/>
                <w:sz w:val="24"/>
                <w:szCs w:val="24"/>
                <w:lang w:eastAsia="it-IT"/>
              </w:rPr>
              <w:t>Testtube</w:t>
            </w:r>
            <w:proofErr w:type="spellEnd"/>
            <w:r w:rsidRPr="001C4783">
              <w:rPr>
                <w:rFonts w:ascii="Arial" w:eastAsia="Times New Roman" w:hAnsi="Arial" w:cs="Arial"/>
                <w:sz w:val="24"/>
                <w:szCs w:val="24"/>
                <w:lang w:eastAsia="it-IT"/>
              </w:rPr>
              <w:t xml:space="preserve">) pensate per guidare l’attuazione di interventi assistenziali appropriati e di qualità, accompagnate da 2 introduzioni e 11 capitoli propedeutici alla comprensione del razionale di alcune procedure e all’approccio al bambino/adolescente e alla sua famiglia durante gli interventi. Il testo offre poi un elevato numero di appendici, disponibili in formato digitale sul sito </w:t>
            </w:r>
            <w:proofErr w:type="spellStart"/>
            <w:r w:rsidRPr="001C4783">
              <w:rPr>
                <w:rFonts w:ascii="Arial" w:eastAsia="Times New Roman" w:hAnsi="Arial" w:cs="Arial"/>
                <w:sz w:val="24"/>
                <w:szCs w:val="24"/>
                <w:lang w:eastAsia="it-IT"/>
              </w:rPr>
              <w:t>Testtube</w:t>
            </w:r>
            <w:proofErr w:type="spellEnd"/>
            <w:r w:rsidRPr="001C4783">
              <w:rPr>
                <w:rFonts w:ascii="Arial" w:eastAsia="Times New Roman" w:hAnsi="Arial" w:cs="Arial"/>
                <w:sz w:val="24"/>
                <w:szCs w:val="24"/>
                <w:lang w:eastAsia="it-IT"/>
              </w:rPr>
              <w:t>, che forniscono al lettore un’ampia rassegna di scale, strumenti e sussidi per la valutazione generale e specifica della salute del soggetto in età evolutiva e per la sicurezza dell’operatore e del bambino assistito.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p>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b/>
                <w:bCs/>
                <w:sz w:val="24"/>
                <w:szCs w:val="24"/>
                <w:lang w:eastAsia="it-IT"/>
              </w:rPr>
              <w:t>Vantaggio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Un testo molto completo che parte dalle basi teoriche per poi sviluppare nella pratica le procedure infermieristiche utilizzate più di frequente in area pediatrica e che si conclude con numerose appendici che forniscono informazioni e strumenti pratici per l'applicazione delle procedure.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Esempi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Per l'elenco dettagliato dei capitoli, delle procedure e delle appendici si vedano le pagine romane da XXV a XXIX in cui è anche indicato quali contributi sono presenti sul testo cartaceo e quali sono invece disponibili online su </w:t>
            </w:r>
            <w:proofErr w:type="spellStart"/>
            <w:r w:rsidRPr="001C4783">
              <w:rPr>
                <w:rFonts w:ascii="Arial" w:eastAsia="Times New Roman" w:hAnsi="Arial" w:cs="Arial"/>
                <w:sz w:val="24"/>
                <w:szCs w:val="24"/>
                <w:lang w:eastAsia="it-IT"/>
              </w:rPr>
              <w:t>Testtube</w:t>
            </w:r>
            <w:proofErr w:type="spellEnd"/>
            <w:r w:rsidRPr="001C4783">
              <w:rPr>
                <w:rFonts w:ascii="Arial" w:eastAsia="Times New Roman" w:hAnsi="Arial" w:cs="Arial"/>
                <w:sz w:val="24"/>
                <w:szCs w:val="24"/>
                <w:lang w:eastAsia="it-IT"/>
              </w:rPr>
              <w:t>.</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Default="001C4783" w:rsidP="001C4783">
            <w:pPr>
              <w:spacing w:after="0" w:line="240" w:lineRule="auto"/>
              <w:rPr>
                <w:rFonts w:ascii="Arial" w:eastAsia="Times New Roman" w:hAnsi="Arial" w:cs="Arial"/>
                <w:sz w:val="24"/>
                <w:szCs w:val="24"/>
                <w:lang w:eastAsia="it-IT"/>
              </w:rPr>
            </w:pPr>
          </w:p>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lastRenderedPageBreak/>
              <w:t>Strillo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lastRenderedPageBreak/>
              <w:t>Il testo è progettato per fornire ai professionisti sanitari una rapida consultazione delle procedure più utilizzate nella pratica clinica generale e specialistica di area pediatrica.</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Descrizione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Il testo presenta un</w:t>
            </w:r>
            <w:r>
              <w:rPr>
                <w:rFonts w:ascii="Arial" w:eastAsia="Times New Roman" w:hAnsi="Arial" w:cs="Arial"/>
                <w:sz w:val="24"/>
                <w:szCs w:val="24"/>
                <w:lang w:eastAsia="it-IT"/>
              </w:rPr>
              <w:t>a</w:t>
            </w:r>
            <w:r w:rsidRPr="001C4783">
              <w:rPr>
                <w:rFonts w:ascii="Arial" w:eastAsia="Times New Roman" w:hAnsi="Arial" w:cs="Arial"/>
                <w:sz w:val="24"/>
                <w:szCs w:val="24"/>
                <w:lang w:eastAsia="it-IT"/>
              </w:rPr>
              <w:t xml:space="preserve"> nuova struttura i cui le procedure sono suddivise per argomenti e apparati corporei.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Tutte le procedure presentano una struttura standard con sezioni comuni che sono state pensate in modo che le procedure possano essere facilmente adattate e trasformate in istruzioni operative da contestualizzare nelle diverse realtà sanitarie.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Vantaggio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La nuova struttura del testo che presenta le procedure suddivise per funzioni </w:t>
            </w:r>
            <w:proofErr w:type="gramStart"/>
            <w:r w:rsidRPr="001C4783">
              <w:rPr>
                <w:rFonts w:ascii="Arial" w:eastAsia="Times New Roman" w:hAnsi="Arial" w:cs="Arial"/>
                <w:sz w:val="24"/>
                <w:szCs w:val="24"/>
                <w:lang w:eastAsia="it-IT"/>
              </w:rPr>
              <w:t>a</w:t>
            </w:r>
            <w:proofErr w:type="gramEnd"/>
            <w:r w:rsidRPr="001C4783">
              <w:rPr>
                <w:rFonts w:ascii="Arial" w:eastAsia="Times New Roman" w:hAnsi="Arial" w:cs="Arial"/>
                <w:sz w:val="24"/>
                <w:szCs w:val="24"/>
                <w:lang w:eastAsia="it-IT"/>
              </w:rPr>
              <w:t xml:space="preserve"> apparati permette di trovare rapidamente e con facilità la procedura cercata. </w:t>
            </w:r>
            <w:proofErr w:type="gramStart"/>
            <w:r w:rsidRPr="001C4783">
              <w:rPr>
                <w:rFonts w:ascii="Arial" w:eastAsia="Times New Roman" w:hAnsi="Arial" w:cs="Arial"/>
                <w:sz w:val="24"/>
                <w:szCs w:val="24"/>
                <w:lang w:eastAsia="it-IT"/>
              </w:rPr>
              <w:t>Inoltre</w:t>
            </w:r>
            <w:proofErr w:type="gramEnd"/>
            <w:r w:rsidRPr="001C4783">
              <w:rPr>
                <w:rFonts w:ascii="Arial" w:eastAsia="Times New Roman" w:hAnsi="Arial" w:cs="Arial"/>
                <w:sz w:val="24"/>
                <w:szCs w:val="24"/>
                <w:lang w:eastAsia="it-IT"/>
              </w:rPr>
              <w:t xml:space="preserve"> tutte le procedure sono presentate secondo un formato standard che ne facilita la consultazione e semplifica il recupero delle informazioni ricercate.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Esempi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Per la presentazione della struttura delle procedure si veda la prefazione di P. </w:t>
            </w: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xml:space="preserve"> alla pagina XVII.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Strillo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Ogni procedura è corredata da una raccolta dei principali titoli diagnostici NANDA-I e dei relativi risultati di salute NOC e interventi infermieristici NIC, che possono essere correlati alla procedura stessa.</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Descrizione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Al termine di ogni procedura è stata inserita una tabella che riporta le principali diagnosi infermieristiche NANDA-I che potrebbero essere utilizzate per pianificare l'assistenza infermieristica al bambino sottoposto alla procedura e alla sua famiglia. A ogni diagnosi sono collegati i risultati di salute, tratti dalla classificazione NOC, e gli interventi infermieristici, tratti dalla classificazione NIC, più opportuni per sviluppare e controllare la relativa assistenza infermieristica.</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Un nuovo capitolo iniziale (capitolo 4) introduce il lettore alla pianificazione dell'assistenza con l'uso delle tre tassonomie.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Vantaggi</w:t>
            </w:r>
            <w:r>
              <w:rPr>
                <w:rFonts w:ascii="Arial" w:eastAsia="Times New Roman" w:hAnsi="Arial" w:cs="Arial"/>
                <w:b/>
                <w:bCs/>
                <w:sz w:val="24"/>
                <w:szCs w:val="24"/>
                <w:lang w:eastAsia="it-IT"/>
              </w:rPr>
              <w:t>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presenza di questa tabella sarà estremamente utile per coloro che, sempre più numerosi soprattutto in ambito didattico, utilizzano le tre tassonomie NNN per pianificare l'assistenza infermieristica delle persone assistite. Le tabelle sono però pensate per essere ancillari al testo e quindi non saranno d'ostacolo all'utilizzo del testo anche da parte di chi non conosce le tre tassonomie.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Esempi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Le tabelle sono presenti alla fine di tutte le procedure, comprese quelle disponibili online in formato PDF. Esempi significativi sono presenti già nelle prime procedure alle pagine 103 e 108.</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Strillo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Un testo monumentale con più di 1300 pagine tra cartaceo e digitale.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Descrizione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Il testo cartaceo è composto da 976 pagine (pagine iniziali, 2 sezioni introduttive, 11 capitoli, 98 procedure, 1 appendice, indice analitico) e cui si affiancano 345 pagine digitali in formato PDF accessibili su </w:t>
            </w:r>
            <w:proofErr w:type="spellStart"/>
            <w:r w:rsidRPr="001C4783">
              <w:rPr>
                <w:rFonts w:ascii="Arial" w:eastAsia="Times New Roman" w:hAnsi="Arial" w:cs="Arial"/>
                <w:sz w:val="24"/>
                <w:szCs w:val="24"/>
                <w:lang w:eastAsia="it-IT"/>
              </w:rPr>
              <w:t>Testtube</w:t>
            </w:r>
            <w:proofErr w:type="spellEnd"/>
            <w:r w:rsidRPr="001C4783">
              <w:rPr>
                <w:rFonts w:ascii="Arial" w:eastAsia="Times New Roman" w:hAnsi="Arial" w:cs="Arial"/>
                <w:sz w:val="24"/>
                <w:szCs w:val="24"/>
                <w:lang w:eastAsia="it-IT"/>
              </w:rPr>
              <w:t xml:space="preserve"> attraverso il codice alfanumerico stampato in seconda di copertina (30 procedure di uso meno frequente per un totale di 182 pagine, 117 pagine di appendici con scale di valutazione e strumenti pratici da utilizzare nella clinica, 46 pagine di bibliografia con indicazione, quando opportuno dei livelli di evidenza dei riferimenti citati).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Vantaggio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Un testo "autosufficiente" che presenta le procedure pediatriche accompagnandole con gli argomenti teorici propedeutici alla loro comprensione e applicazione sicura ed efficace in ambito clinico e con strumenti pratici di valutazione e accertamento da utilizzare nel corso dell'esecuzione delle procedure. Il tutto corredato da un'esauriente bibliografia </w:t>
            </w:r>
            <w:proofErr w:type="spellStart"/>
            <w:r w:rsidRPr="001C4783">
              <w:rPr>
                <w:rFonts w:ascii="Arial" w:eastAsia="Times New Roman" w:hAnsi="Arial" w:cs="Arial"/>
                <w:sz w:val="24"/>
                <w:szCs w:val="24"/>
                <w:lang w:eastAsia="it-IT"/>
              </w:rPr>
              <w:t>evidence</w:t>
            </w:r>
            <w:proofErr w:type="spellEnd"/>
            <w:r w:rsidRPr="001C4783">
              <w:rPr>
                <w:rFonts w:ascii="Arial" w:eastAsia="Times New Roman" w:hAnsi="Arial" w:cs="Arial"/>
                <w:sz w:val="24"/>
                <w:szCs w:val="24"/>
                <w:lang w:eastAsia="it-IT"/>
              </w:rPr>
              <w:t xml:space="preserve"> </w:t>
            </w:r>
            <w:proofErr w:type="spellStart"/>
            <w:r w:rsidRPr="001C4783">
              <w:rPr>
                <w:rFonts w:ascii="Arial" w:eastAsia="Times New Roman" w:hAnsi="Arial" w:cs="Arial"/>
                <w:sz w:val="24"/>
                <w:szCs w:val="24"/>
                <w:lang w:eastAsia="it-IT"/>
              </w:rPr>
              <w:t>based</w:t>
            </w:r>
            <w:proofErr w:type="spellEnd"/>
            <w:r w:rsidRPr="001C4783">
              <w:rPr>
                <w:rFonts w:ascii="Arial" w:eastAsia="Times New Roman" w:hAnsi="Arial" w:cs="Arial"/>
                <w:sz w:val="24"/>
                <w:szCs w:val="24"/>
                <w:lang w:eastAsia="it-IT"/>
              </w:rPr>
              <w:t xml:space="preserve"> a sostegno degli argomenti trattati.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1C4783" w:rsidP="001C4783">
            <w:pPr>
              <w:spacing w:after="0" w:line="240" w:lineRule="auto"/>
              <w:rPr>
                <w:rFonts w:ascii="Arial" w:eastAsia="Times New Roman" w:hAnsi="Arial" w:cs="Arial"/>
                <w:b/>
                <w:bCs/>
                <w:sz w:val="24"/>
                <w:szCs w:val="24"/>
                <w:lang w:eastAsia="it-IT"/>
              </w:rPr>
            </w:pPr>
            <w:r w:rsidRPr="001C4783">
              <w:rPr>
                <w:rFonts w:ascii="Arial" w:eastAsia="Times New Roman" w:hAnsi="Arial" w:cs="Arial"/>
                <w:b/>
                <w:bCs/>
                <w:sz w:val="24"/>
                <w:szCs w:val="24"/>
                <w:lang w:eastAsia="it-IT"/>
              </w:rPr>
              <w:t>Esempi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 xml:space="preserve">Per l'elenco dettagliato dei capitoli, delle procedure e delle appendici si veda l'indice generale alle pagine romane da XXV a XXIX in cui è anche indicato quali contributi sono presenti sul testo cartaceo e quali sono invece disponibili online su </w:t>
            </w:r>
            <w:proofErr w:type="spellStart"/>
            <w:r w:rsidRPr="001C4783">
              <w:rPr>
                <w:rFonts w:ascii="Arial" w:eastAsia="Times New Roman" w:hAnsi="Arial" w:cs="Arial"/>
                <w:sz w:val="24"/>
                <w:szCs w:val="24"/>
                <w:lang w:eastAsia="it-IT"/>
              </w:rPr>
              <w:t>Testtube</w:t>
            </w:r>
            <w:proofErr w:type="spellEnd"/>
            <w:r w:rsidRPr="001C4783">
              <w:rPr>
                <w:rFonts w:ascii="Arial" w:eastAsia="Times New Roman" w:hAnsi="Arial" w:cs="Arial"/>
                <w:sz w:val="24"/>
                <w:szCs w:val="24"/>
                <w:lang w:eastAsia="it-IT"/>
              </w:rPr>
              <w:t>.</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1C4783" w:rsidRPr="001C4783"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t>Strillo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Tutte le procedure sono state corredate con un ricchissimo apparato iconografico (foto, disegni e grafici).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t>Descrizione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prima edizione del testo presentava 112 procedure con 6 capitoli iniziali per un totale di 584 pagine cartacee. La nuova edizione presenta 128 procedure con 11. capitoli iniziali, più due introduzioni e una nutrita serie di appendici, ma questo aumento degli argomenti trattati non basta a giustificare il fatto che le pagine della nuova edizione siano più del doppio, tra cartacee e digitali, rispetto all'edizione precedente.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L'aumento del numero di pagine è dovuto in modo molto significativo al fatto che tutte le procedure sono state arricchite con disegni, foro, schemi e grafici per renderne più facile la comprensione.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875BC4" w:rsidRPr="001C4783"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t>Vantaggio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 critica principale mossa alla prima edizione di questo testo (e in parte al più recente volume di </w:t>
            </w:r>
            <w:r w:rsidRPr="001C4783">
              <w:rPr>
                <w:rFonts w:ascii="Arial" w:eastAsia="Times New Roman" w:hAnsi="Arial" w:cs="Arial"/>
                <w:i/>
                <w:iCs/>
                <w:sz w:val="24"/>
                <w:szCs w:val="24"/>
                <w:lang w:eastAsia="it-IT"/>
              </w:rPr>
              <w:t>Procedure infermieristiche</w:t>
            </w:r>
            <w:r w:rsidRPr="001C4783">
              <w:rPr>
                <w:rFonts w:ascii="Arial" w:eastAsia="Times New Roman" w:hAnsi="Arial" w:cs="Arial"/>
                <w:sz w:val="24"/>
                <w:szCs w:val="24"/>
                <w:lang w:eastAsia="it-IT"/>
              </w:rPr>
              <w:t xml:space="preserve"> di </w:t>
            </w:r>
            <w:proofErr w:type="spellStart"/>
            <w:r w:rsidRPr="001C4783">
              <w:rPr>
                <w:rFonts w:ascii="Arial" w:eastAsia="Times New Roman" w:hAnsi="Arial" w:cs="Arial"/>
                <w:sz w:val="24"/>
                <w:szCs w:val="24"/>
                <w:lang w:eastAsia="it-IT"/>
              </w:rPr>
              <w:t>Badon</w:t>
            </w:r>
            <w:proofErr w:type="spellEnd"/>
            <w:r w:rsidRPr="001C4783">
              <w:rPr>
                <w:rFonts w:ascii="Arial" w:eastAsia="Times New Roman" w:hAnsi="Arial" w:cs="Arial"/>
                <w:sz w:val="24"/>
                <w:szCs w:val="24"/>
                <w:lang w:eastAsia="it-IT"/>
              </w:rPr>
              <w:t>, Cinesi, Monterosso e Pellegatta) riguarda il fatto che diversi passaggi delle procedure, non adeguatamente illustrati, potessero ristare di difficile comprensione. Per questo, in questa nuova edizione sono stati aggiunti più di 700 tra disegni, foto e grafici per rendere più chiari i passaggi importanti delle procedure e per mostrare esempi della strumentazione e delle attrezzature da utilizzare durante l'esecuzione delle procedure.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t>Esempi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Esempi del nuovo apparato iconografico e di come questo abbia contribuito ad aumentare in modo significativo il numero di pagine del testo si possono trovare alle pagine 542-543, 700, 703, 714, 779, 909 e 910, ma tutte le procedure sono molto ricche da questo punto di vista.</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875BC4" w:rsidRPr="00875BC4"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lastRenderedPageBreak/>
              <w:t>Strill</w:t>
            </w:r>
            <w:r>
              <w:rPr>
                <w:rFonts w:ascii="Arial" w:eastAsia="Times New Roman" w:hAnsi="Arial" w:cs="Arial"/>
                <w:b/>
                <w:bCs/>
                <w:sz w:val="24"/>
                <w:szCs w:val="24"/>
                <w:lang w:eastAsia="it-IT"/>
              </w:rPr>
              <w:t>o</w:t>
            </w:r>
          </w:p>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Molto significativa l’appendice dedicata all’esecuzione dell’esame fisico pediatrico.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t>Descrizione</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Un</w:t>
            </w:r>
            <w:r w:rsidR="00875BC4">
              <w:rPr>
                <w:rFonts w:ascii="Arial" w:eastAsia="Times New Roman" w:hAnsi="Arial" w:cs="Arial"/>
                <w:sz w:val="24"/>
                <w:szCs w:val="24"/>
                <w:lang w:eastAsia="it-IT"/>
              </w:rPr>
              <w:t>a</w:t>
            </w:r>
            <w:r w:rsidRPr="001C4783">
              <w:rPr>
                <w:rFonts w:ascii="Arial" w:eastAsia="Times New Roman" w:hAnsi="Arial" w:cs="Arial"/>
                <w:sz w:val="24"/>
                <w:szCs w:val="24"/>
                <w:lang w:eastAsia="it-IT"/>
              </w:rPr>
              <w:t xml:space="preserve"> sola appendice è stata mantenuta nel testo cartaceo, a fronte della sua importanza e unicità. Si tratta dell'appendice A1.1 dedicata alla metodica di esecuzione dell'esame fisico infermieristico pediatrico. Un contributo unico nel suo genere per l'approfondimento della trattazione e la specificità all'ambito pediatrico.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t>Vantaggio</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Questa appendice raccoglie tutte le informazioni e le tecniche che 'infermiere deve utilizzare quando effettua l'esame fisico obiettivo del bambino a cui deve prestare assistenza. Un supporto molto utile sia nella pratica clinica che in ambito formativo per acquisire le conoscenze indispensabili per una raccolta efficace dei dati clinici obiettivi. Un contributo che non ha uguali nella letteratura infermieristica in lingua italiana.</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Default="001C4783" w:rsidP="001C4783">
            <w:pPr>
              <w:spacing w:after="0" w:line="240" w:lineRule="auto"/>
              <w:rPr>
                <w:rFonts w:ascii="Arial" w:eastAsia="Times New Roman" w:hAnsi="Arial" w:cs="Arial"/>
                <w:sz w:val="24"/>
                <w:szCs w:val="24"/>
                <w:lang w:eastAsia="it-IT"/>
              </w:rPr>
            </w:pPr>
          </w:p>
          <w:p w:rsidR="00875BC4" w:rsidRPr="001C4783" w:rsidRDefault="00875BC4" w:rsidP="001C4783">
            <w:pPr>
              <w:spacing w:after="0" w:line="240" w:lineRule="auto"/>
              <w:rPr>
                <w:rFonts w:ascii="Arial" w:eastAsia="Times New Roman" w:hAnsi="Arial" w:cs="Arial"/>
                <w:b/>
                <w:bCs/>
                <w:sz w:val="24"/>
                <w:szCs w:val="24"/>
                <w:lang w:eastAsia="it-IT"/>
              </w:rPr>
            </w:pPr>
            <w:r w:rsidRPr="00875BC4">
              <w:rPr>
                <w:rFonts w:ascii="Arial" w:eastAsia="Times New Roman" w:hAnsi="Arial" w:cs="Arial"/>
                <w:b/>
                <w:bCs/>
                <w:sz w:val="24"/>
                <w:szCs w:val="24"/>
                <w:lang w:eastAsia="it-IT"/>
              </w:rPr>
              <w:t>Esempi</w:t>
            </w:r>
          </w:p>
        </w:tc>
      </w:tr>
      <w:tr w:rsidR="001C4783" w:rsidRPr="001C4783" w:rsidTr="001C4783">
        <w:trPr>
          <w:trHeight w:val="300"/>
        </w:trPr>
        <w:tc>
          <w:tcPr>
            <w:tcW w:w="9638" w:type="dxa"/>
            <w:tcBorders>
              <w:top w:val="nil"/>
              <w:left w:val="nil"/>
              <w:bottom w:val="nil"/>
              <w:right w:val="nil"/>
            </w:tcBorders>
            <w:shd w:val="clear" w:color="auto" w:fill="auto"/>
            <w:noWrap/>
            <w:vAlign w:val="bottom"/>
            <w:hideMark/>
          </w:tcPr>
          <w:p w:rsidR="001C4783" w:rsidRPr="001C4783" w:rsidRDefault="001C4783" w:rsidP="001C4783">
            <w:pPr>
              <w:spacing w:after="0" w:line="240" w:lineRule="auto"/>
              <w:rPr>
                <w:rFonts w:ascii="Arial" w:eastAsia="Times New Roman" w:hAnsi="Arial" w:cs="Arial"/>
                <w:sz w:val="24"/>
                <w:szCs w:val="24"/>
                <w:lang w:eastAsia="it-IT"/>
              </w:rPr>
            </w:pPr>
            <w:r w:rsidRPr="001C4783">
              <w:rPr>
                <w:rFonts w:ascii="Arial" w:eastAsia="Times New Roman" w:hAnsi="Arial" w:cs="Arial"/>
                <w:sz w:val="24"/>
                <w:szCs w:val="24"/>
                <w:lang w:eastAsia="it-IT"/>
              </w:rPr>
              <w:t>L'appendice A1.1 inizia a pagina 897.</w:t>
            </w:r>
          </w:p>
        </w:tc>
      </w:tr>
    </w:tbl>
    <w:p w:rsidR="001C4783" w:rsidRPr="001C4783" w:rsidRDefault="001C4783">
      <w:pPr>
        <w:rPr>
          <w:rFonts w:ascii="Arial" w:hAnsi="Arial" w:cs="Arial"/>
          <w:sz w:val="24"/>
          <w:szCs w:val="24"/>
        </w:rPr>
      </w:pPr>
      <w:bookmarkStart w:id="0" w:name="_GoBack"/>
      <w:bookmarkEnd w:id="0"/>
    </w:p>
    <w:sectPr w:rsidR="001C4783" w:rsidRPr="001C47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83"/>
    <w:rsid w:val="001C4783"/>
    <w:rsid w:val="00875BC4"/>
    <w:rsid w:val="00C47B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CF33"/>
  <w15:chartTrackingRefBased/>
  <w15:docId w15:val="{8F50343F-D161-46DA-ACFC-3B41138E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1C47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5">
    <w:name w:val="heading 5"/>
    <w:basedOn w:val="Normale"/>
    <w:link w:val="Titolo5Carattere"/>
    <w:uiPriority w:val="9"/>
    <w:qFormat/>
    <w:rsid w:val="001C4783"/>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4783"/>
    <w:rPr>
      <w:rFonts w:ascii="Times New Roman" w:eastAsia="Times New Roman" w:hAnsi="Times New Roman" w:cs="Times New Roman"/>
      <w:b/>
      <w:bCs/>
      <w:kern w:val="36"/>
      <w:sz w:val="48"/>
      <w:szCs w:val="48"/>
      <w:lang w:eastAsia="it-IT"/>
    </w:rPr>
  </w:style>
  <w:style w:type="character" w:customStyle="1" w:styleId="Titolo5Carattere">
    <w:name w:val="Titolo 5 Carattere"/>
    <w:basedOn w:val="Carpredefinitoparagrafo"/>
    <w:link w:val="Titolo5"/>
    <w:uiPriority w:val="9"/>
    <w:rsid w:val="001C4783"/>
    <w:rPr>
      <w:rFonts w:ascii="Times New Roman" w:eastAsia="Times New Roman" w:hAnsi="Times New Roman" w:cs="Times New Roman"/>
      <w:b/>
      <w:bCs/>
      <w:sz w:val="20"/>
      <w:szCs w:val="20"/>
      <w:lang w:eastAsia="it-IT"/>
    </w:rPr>
  </w:style>
  <w:style w:type="character" w:customStyle="1" w:styleId="h3">
    <w:name w:val="h3"/>
    <w:basedOn w:val="Carpredefinitoparagrafo"/>
    <w:rsid w:val="001C4783"/>
  </w:style>
  <w:style w:type="paragraph" w:styleId="NormaleWeb">
    <w:name w:val="Normal (Web)"/>
    <w:basedOn w:val="Normale"/>
    <w:uiPriority w:val="99"/>
    <w:semiHidden/>
    <w:unhideWhenUsed/>
    <w:rsid w:val="001C478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1C4783"/>
    <w:rPr>
      <w:i/>
      <w:iCs/>
    </w:rPr>
  </w:style>
  <w:style w:type="character" w:styleId="Enfasigrassetto">
    <w:name w:val="Strong"/>
    <w:basedOn w:val="Carpredefinitoparagrafo"/>
    <w:uiPriority w:val="22"/>
    <w:qFormat/>
    <w:rsid w:val="001C4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330412">
      <w:bodyDiv w:val="1"/>
      <w:marLeft w:val="0"/>
      <w:marRight w:val="0"/>
      <w:marTop w:val="0"/>
      <w:marBottom w:val="0"/>
      <w:divBdr>
        <w:top w:val="none" w:sz="0" w:space="0" w:color="auto"/>
        <w:left w:val="none" w:sz="0" w:space="0" w:color="auto"/>
        <w:bottom w:val="none" w:sz="0" w:space="0" w:color="auto"/>
        <w:right w:val="none" w:sz="0" w:space="0" w:color="auto"/>
      </w:divBdr>
      <w:divsChild>
        <w:div w:id="790704640">
          <w:marLeft w:val="0"/>
          <w:marRight w:val="0"/>
          <w:marTop w:val="0"/>
          <w:marBottom w:val="0"/>
          <w:divBdr>
            <w:top w:val="none" w:sz="0" w:space="0" w:color="auto"/>
            <w:left w:val="none" w:sz="0" w:space="0" w:color="auto"/>
            <w:bottom w:val="none" w:sz="0" w:space="0" w:color="auto"/>
            <w:right w:val="none" w:sz="0" w:space="0" w:color="auto"/>
          </w:divBdr>
          <w:divsChild>
            <w:div w:id="18090906">
              <w:marLeft w:val="0"/>
              <w:marRight w:val="0"/>
              <w:marTop w:val="0"/>
              <w:marBottom w:val="0"/>
              <w:divBdr>
                <w:top w:val="none" w:sz="0" w:space="0" w:color="auto"/>
                <w:left w:val="none" w:sz="0" w:space="0" w:color="auto"/>
                <w:bottom w:val="none" w:sz="0" w:space="0" w:color="auto"/>
                <w:right w:val="none" w:sz="0" w:space="0" w:color="auto"/>
              </w:divBdr>
              <w:divsChild>
                <w:div w:id="1197040281">
                  <w:marLeft w:val="0"/>
                  <w:marRight w:val="0"/>
                  <w:marTop w:val="0"/>
                  <w:marBottom w:val="0"/>
                  <w:divBdr>
                    <w:top w:val="none" w:sz="0" w:space="0" w:color="auto"/>
                    <w:left w:val="none" w:sz="0" w:space="0" w:color="auto"/>
                    <w:bottom w:val="none" w:sz="0" w:space="0" w:color="auto"/>
                    <w:right w:val="none" w:sz="0" w:space="0" w:color="auto"/>
                  </w:divBdr>
                </w:div>
                <w:div w:id="800924094">
                  <w:marLeft w:val="0"/>
                  <w:marRight w:val="0"/>
                  <w:marTop w:val="0"/>
                  <w:marBottom w:val="0"/>
                  <w:divBdr>
                    <w:top w:val="none" w:sz="0" w:space="0" w:color="auto"/>
                    <w:left w:val="none" w:sz="0" w:space="0" w:color="auto"/>
                    <w:bottom w:val="none" w:sz="0" w:space="0" w:color="auto"/>
                    <w:right w:val="none" w:sz="0" w:space="0" w:color="auto"/>
                  </w:divBdr>
                </w:div>
                <w:div w:id="1975334084">
                  <w:marLeft w:val="0"/>
                  <w:marRight w:val="0"/>
                  <w:marTop w:val="0"/>
                  <w:marBottom w:val="0"/>
                  <w:divBdr>
                    <w:top w:val="none" w:sz="0" w:space="0" w:color="auto"/>
                    <w:left w:val="none" w:sz="0" w:space="0" w:color="auto"/>
                    <w:bottom w:val="none" w:sz="0" w:space="0" w:color="auto"/>
                    <w:right w:val="none" w:sz="0" w:space="0" w:color="auto"/>
                  </w:divBdr>
                </w:div>
                <w:div w:id="1324699746">
                  <w:marLeft w:val="0"/>
                  <w:marRight w:val="0"/>
                  <w:marTop w:val="0"/>
                  <w:marBottom w:val="0"/>
                  <w:divBdr>
                    <w:top w:val="none" w:sz="0" w:space="0" w:color="auto"/>
                    <w:left w:val="none" w:sz="0" w:space="0" w:color="auto"/>
                    <w:bottom w:val="none" w:sz="0" w:space="0" w:color="auto"/>
                    <w:right w:val="none" w:sz="0" w:space="0" w:color="auto"/>
                  </w:divBdr>
                </w:div>
                <w:div w:id="1550532405">
                  <w:marLeft w:val="0"/>
                  <w:marRight w:val="0"/>
                  <w:marTop w:val="0"/>
                  <w:marBottom w:val="0"/>
                  <w:divBdr>
                    <w:top w:val="none" w:sz="0" w:space="0" w:color="auto"/>
                    <w:left w:val="none" w:sz="0" w:space="0" w:color="auto"/>
                    <w:bottom w:val="none" w:sz="0" w:space="0" w:color="auto"/>
                    <w:right w:val="none" w:sz="0" w:space="0" w:color="auto"/>
                  </w:divBdr>
                </w:div>
                <w:div w:id="20832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40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2178</Words>
  <Characters>12418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BELLETTI</dc:creator>
  <cp:keywords/>
  <dc:description/>
  <cp:lastModifiedBy>BELLETTI</cp:lastModifiedBy>
  <cp:revision>1</cp:revision>
  <dcterms:created xsi:type="dcterms:W3CDTF">2021-03-31T07:18:00Z</dcterms:created>
  <dcterms:modified xsi:type="dcterms:W3CDTF">2021-03-31T07:30:00Z</dcterms:modified>
</cp:coreProperties>
</file>